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media/image1.jpeg" ContentType="image/jpeg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1"/>
        <w:widowControl/>
        <w:tabs>
          <w:tab w:val="clear" w:pos="709"/>
          <w:tab w:val="left" w:pos="1620" w:leader="none"/>
        </w:tabs>
        <w:spacing w:lineRule="auto" w:line="240" w:before="480" w:after="0"/>
        <w:ind w:left="0" w:right="0" w:firstLine="1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Style w:val="Style21"/>
          <w:rFonts w:cs="Times New Roman" w:ascii="Times New Roman" w:hAnsi="Times New Roman"/>
          <w:b/>
          <w:iCs/>
          <w:sz w:val="22"/>
          <w:szCs w:val="22"/>
          <w:shd w:fill="auto" w:val="clear"/>
        </w:rPr>
        <w:t xml:space="preserve">                                                                                                                                       </w:t>
      </w:r>
      <w:r>
        <w:rPr>
          <w:rStyle w:val="Style21"/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Приложение </w:t>
      </w:r>
      <w:r>
        <w:rPr>
          <w:rStyle w:val="Style21"/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shd w:fill="auto" w:val="clear"/>
        </w:rPr>
        <w:t>5</w:t>
      </w:r>
      <w:r>
        <w:rPr>
          <w:rStyle w:val="Style21"/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shd w:fill="auto" w:val="clear"/>
        </w:rPr>
        <w:t xml:space="preserve"> </w:t>
      </w:r>
      <w:r>
        <w:rPr>
          <w:rStyle w:val="Style21"/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shd w:fill="auto" w:val="clear"/>
        </w:rPr>
        <w:t>к Т</w:t>
      </w:r>
      <w:r>
        <w:rPr>
          <w:rStyle w:val="Style21"/>
          <w:rFonts w:cs="Times New Roman" w:ascii="Times New Roman" w:hAnsi="Times New Roman"/>
          <w:b w:val="false"/>
          <w:bCs w:val="false"/>
          <w:i w:val="false"/>
          <w:iCs w:val="false"/>
          <w:sz w:val="24"/>
          <w:szCs w:val="24"/>
          <w:shd w:fill="auto" w:val="clear"/>
        </w:rPr>
        <w:t>3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5811" w:right="0" w:hanging="108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0" w:right="0" w:firstLine="709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0" w:right="0" w:firstLine="709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0" w:right="0" w:firstLine="709"/>
        <w:jc w:val="center"/>
        <w:rPr/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 xml:space="preserve">к оформлению и составлению сметной документации на </w:t>
      </w:r>
      <w:r>
        <w:rPr>
          <w:rFonts w:cs="Times New Roman" w:ascii="Times New Roman" w:hAnsi="Times New Roman"/>
          <w:b/>
          <w:bCs/>
          <w:sz w:val="22"/>
          <w:szCs w:val="22"/>
        </w:rPr>
        <w:t>строительство и реконструкция объектов капитального строительства</w:t>
      </w: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Style w:val="Style23"/>
          <w:rFonts w:cs="Times New Roman" w:ascii="Times New Roman" w:hAnsi="Times New Roman"/>
          <w:b/>
          <w:sz w:val="22"/>
          <w:szCs w:val="22"/>
        </w:rPr>
        <w:footnoteReference w:id="2"/>
      </w:r>
    </w:p>
    <w:p>
      <w:pPr>
        <w:pStyle w:val="ConsPlusNormal1"/>
        <w:widowControl/>
        <w:tabs>
          <w:tab w:val="clear" w:pos="709"/>
          <w:tab w:val="left" w:pos="284" w:leader="none"/>
        </w:tabs>
        <w:ind w:left="0" w:right="0" w:firstLine="709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276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</w:rPr>
        <w:t xml:space="preserve">на строительство и реконструкцию объектов капитального строительства, </w:t>
      </w:r>
      <w:r>
        <w:rPr>
          <w:rFonts w:cs="Times New Roman" w:ascii="Times New Roman" w:hAnsi="Times New Roman"/>
          <w:sz w:val="22"/>
          <w:szCs w:val="22"/>
        </w:rPr>
        <w:t>, порядок определения стоимости которых регулируется Статьей 8.3 Градостроительного кодекса РФ.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Стоимость работ определяется на основании Сметы договора с учетом </w:t>
      </w:r>
      <w:r>
        <w:rPr>
          <w:rFonts w:ascii="Times New Roman" w:hAnsi="Times New Roman"/>
        </w:rPr>
        <w:t>цены конструктивных решений (элементов), комплексов (видов) работ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Смета договора составляется на основании: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проектной документации, получившей положительное заключение Главгосэкспертизы, и входящей в нее сметной документации, прошедшей проверку достоверности сметной стоимости объекта</w:t>
      </w:r>
      <w:r>
        <w:rPr>
          <w:rStyle w:val="Style23"/>
          <w:rFonts w:cs="Times New Roman" w:ascii="Times New Roman" w:hAnsi="Times New Roman"/>
          <w:sz w:val="22"/>
          <w:szCs w:val="22"/>
        </w:rPr>
        <w:footnoteReference w:id="3"/>
      </w:r>
      <w:r>
        <w:rPr>
          <w:rFonts w:cs="Times New Roman" w:ascii="Times New Roman" w:hAnsi="Times New Roman"/>
          <w:sz w:val="22"/>
          <w:szCs w:val="22"/>
        </w:rPr>
        <w:t xml:space="preserve"> с применением индексов</w:t>
      </w:r>
      <w:r>
        <w:rPr>
          <w:rFonts w:cs="Times New Roman" w:ascii="Times New Roman" w:hAnsi="Times New Roman"/>
          <w:i/>
          <w:sz w:val="22"/>
          <w:szCs w:val="22"/>
        </w:rPr>
        <w:t xml:space="preserve"> (указать период, размеры индексов  и источник, размеры индексов-дефляторов, источник).</w:t>
      </w:r>
    </w:p>
    <w:p>
      <w:pPr>
        <w:pStyle w:val="NormalWeb"/>
        <w:numPr>
          <w:ilvl w:val="1"/>
          <w:numId w:val="1"/>
        </w:numPr>
        <w:tabs>
          <w:tab w:val="clear" w:pos="709"/>
          <w:tab w:val="left" w:pos="284" w:leader="none"/>
          <w:tab w:val="left" w:pos="851" w:leader="none"/>
          <w:tab w:val="left" w:pos="1134" w:leader="none"/>
          <w:tab w:val="left" w:pos="1276" w:leader="none"/>
        </w:tabs>
        <w:spacing w:before="0" w:after="3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Рабочей документацией</w:t>
      </w:r>
      <w:r>
        <w:rPr>
          <w:rFonts w:cs="Times New Roman" w:ascii="Times New Roman" w:hAnsi="Times New Roman"/>
          <w:sz w:val="22"/>
          <w:szCs w:val="22"/>
        </w:rPr>
        <w:t xml:space="preserve"> и входящей в нее сметной документации с применением индексов</w:t>
      </w:r>
      <w:r>
        <w:rPr>
          <w:rFonts w:cs="Times New Roman" w:ascii="Times New Roman" w:hAnsi="Times New Roman"/>
          <w:i/>
          <w:sz w:val="22"/>
          <w:szCs w:val="22"/>
        </w:rPr>
        <w:t xml:space="preserve"> (указать период, размеры индексов и источник, размеры индексов-дефляторов, источник).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Составление сметной документации в составе рабочей документации осуществляется в соответствии с п. 10-40.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составе цены конструктивных решений (элементов), комплексов (видов) работ учтены: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прямые затраты, сформированные на основании сметных норм сметно-нормативной базы; 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строительство временных зданий и сооружений. В случае, если в сводном сметном расчете стоимости строительства затраты на титульные временные здания и сооружения определялись по набору (перечню) согласно проекту организации строительства, являющемуся разделом проектной документации, с составлением локальных смет, а не в процентах от стоимости строительно-монтажных работ, то затраты на временные здания и сооружения приводятся в смете договора отдельной строкой с указанием наименования единицы измерения комплекс или объект (с учетом затрат, связанных с удорожанием работ в зимнее время)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затраты, связанные с удорожанием работ в зимнее время в размере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затраты на осуществление работ вахтовым методом, </w:t>
      </w:r>
    </w:p>
    <w:p>
      <w:pPr>
        <w:pStyle w:val="ListParagraph"/>
        <w:numPr>
          <w:ilvl w:val="1"/>
          <w:numId w:val="1"/>
        </w:numPr>
        <w:tabs>
          <w:tab w:val="clear" w:pos="709"/>
          <w:tab w:val="left" w:pos="284" w:leader="none"/>
          <w:tab w:val="left" w:pos="1134" w:leader="none"/>
          <w:tab w:val="left" w:pos="1276" w:leader="none"/>
        </w:tabs>
        <w:spacing w:lineRule="auto" w:line="259" w:before="0" w:after="160"/>
        <w:ind w:left="0" w:righ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иные прочие работы и затраты.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 xml:space="preserve">В случае внесения изменений в проектную/рабочую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В случае внесения изменений в проектную/рабочую документацию в связи с включением в нее ранее непредусмотренных такой проектной/рабочей документацией видов работ и (или) затрат, а также если в конструктивном решении (элементе), комплексе (виде) работ сгруппированы разнородные работы и затраты, то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 (Цдоп.раб), по формуле:</w:t>
      </w:r>
    </w:p>
    <w:p>
      <w:pPr>
        <w:pStyle w:val="NormalWeb"/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Цдоп.раб. = Цподр.раб. х Кинф. х Ктенд.,</w:t>
      </w:r>
    </w:p>
    <w:p>
      <w:pPr>
        <w:pStyle w:val="NormalWeb"/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 xml:space="preserve">где: </w:t>
      </w:r>
    </w:p>
    <w:p>
      <w:pPr>
        <w:pStyle w:val="NormalWeb"/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Цподр.раб. - цена ранее не предусмотренных проектной/рабочей документацией видов работ и (или) затрат в уровне цен на дату согласования сметной документации (с применением индексов, указанных в п. 3 настоящего приложения;</w:t>
      </w:r>
    </w:p>
    <w:p>
      <w:pPr>
        <w:pStyle w:val="NormalWeb"/>
        <w:tabs>
          <w:tab w:val="clear" w:pos="709"/>
          <w:tab w:val="left" w:pos="284" w:leader="none"/>
          <w:tab w:val="left" w:pos="993" w:leader="none"/>
        </w:tabs>
        <w:spacing w:before="0" w:after="3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Кинф. - индексы-дефляторы, указанные в п. 3 настоящего приложения на соответствующий период выполнения работ;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Ктенд. - коэффициент снижения начальной (максимальной) цены договора, определенный по результатам закупочных процедур (при наличии в условиях договора).</w:t>
      </w:r>
    </w:p>
    <w:p>
      <w:pPr>
        <w:pStyle w:val="NormalWeb"/>
        <w:numPr>
          <w:ilvl w:val="0"/>
          <w:numId w:val="1"/>
        </w:numPr>
        <w:tabs>
          <w:tab w:val="left" w:pos="284" w:leader="none"/>
          <w:tab w:val="left" w:pos="709" w:leader="none"/>
          <w:tab w:val="left" w:pos="993" w:leader="none"/>
        </w:tabs>
        <w:spacing w:before="280" w:after="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>
      <w:pPr>
        <w:pStyle w:val="NormalWeb"/>
        <w:numPr>
          <w:ilvl w:val="0"/>
          <w:numId w:val="1"/>
        </w:numPr>
        <w:tabs>
          <w:tab w:val="left" w:pos="284" w:leader="none"/>
          <w:tab w:val="left" w:pos="709" w:leader="none"/>
          <w:tab w:val="left" w:pos="993" w:leader="none"/>
        </w:tabs>
        <w:spacing w:before="0" w:after="280"/>
        <w:ind w:left="0" w:right="0" w:firstLine="709"/>
        <w:jc w:val="both"/>
        <w:rPr>
          <w:rFonts w:ascii="Times New Roman" w:hAnsi="Times New Roman" w:eastAsia="Times New Roman" w:cs="Times New Roman"/>
          <w:color w:val="00000A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A"/>
          <w:spacing w:val="0"/>
          <w:sz w:val="22"/>
          <w:szCs w:val="22"/>
        </w:rPr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left="0" w:right="0" w:firstLine="709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составлению сметной документации в составе рабочей документации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left="0" w:right="0" w:firstLine="709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(раздел учитывается в случае составления сметы договора в соответствии  с рабочей документацией в рамках исполнения договора)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cs="Times New Roman"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2021</w:t>
      </w:r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</w:t>
      </w:r>
      <w:r>
        <w:rPr>
          <w:rFonts w:cs="Times New Roman" w:ascii="Times New Roman" w:hAnsi="Times New Roman"/>
          <w:sz w:val="22"/>
          <w:szCs w:val="22"/>
        </w:rPr>
        <w:t>действующую</w:t>
      </w:r>
      <w:r>
        <w:rPr>
          <w:rFonts w:cs="Times New Roman" w:ascii="Times New Roman" w:hAnsi="Times New Roman"/>
          <w:sz w:val="22"/>
          <w:szCs w:val="22"/>
        </w:rPr>
        <w:t xml:space="preserve"> сметно-нормативную базу </w:t>
      </w:r>
      <w:r>
        <w:rPr>
          <w:rFonts w:cs="Times New Roman" w:ascii="Times New Roman" w:hAnsi="Times New Roman"/>
          <w:b/>
          <w:sz w:val="22"/>
          <w:szCs w:val="22"/>
        </w:rPr>
        <w:t>.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993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Определение сметной стоимости работ при новом строительстве возможно одним из нижеперечисленных методов </w:t>
      </w:r>
      <w:r>
        <w:rPr>
          <w:rFonts w:cs="Times New Roman" w:ascii="Times New Roman" w:hAnsi="Times New Roman"/>
          <w:b/>
          <w:sz w:val="22"/>
          <w:szCs w:val="22"/>
        </w:rPr>
        <w:t>: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284" w:leader="none"/>
          <w:tab w:val="left" w:pos="851" w:leader="none"/>
          <w:tab w:val="left" w:pos="993" w:leader="none"/>
        </w:tabs>
        <w:ind w:left="0" w:right="0" w:firstLine="709"/>
        <w:jc w:val="both"/>
        <w:rPr>
          <w:shd w:fill="auto" w:val="clear"/>
        </w:rPr>
      </w:pP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 xml:space="preserve">Ресурсным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 xml:space="preserve">-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 (далее - ФГИС ЦС). Сметная стоимость, определенная с применением ресурсного метода, приводится в локальных сметных расчетах (сметах) </w:t>
      </w: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>в текущем уровне цен.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284" w:leader="none"/>
          <w:tab w:val="left" w:pos="851" w:leader="none"/>
          <w:tab w:val="left" w:pos="993" w:leader="none"/>
        </w:tabs>
        <w:ind w:left="0" w:right="0" w:firstLine="709"/>
        <w:jc w:val="both"/>
        <w:rPr>
          <w:shd w:fill="auto" w:val="clear"/>
        </w:rPr>
      </w:pPr>
      <w:r>
        <w:rPr>
          <w:rFonts w:cs="Times New Roman" w:ascii="Times New Roman" w:hAnsi="Times New Roman"/>
          <w:b/>
          <w:sz w:val="22"/>
          <w:szCs w:val="22"/>
          <w:u w:val="single"/>
          <w:shd w:fill="auto" w:val="clear"/>
        </w:rPr>
        <w:t>Базисно-индексным</w:t>
      </w: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 xml:space="preserve">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 xml:space="preserve">(является </w:t>
      </w: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 xml:space="preserve">приоритетным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 xml:space="preserve">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>в двух уровнях цен: базисном и текущем.</w:t>
      </w:r>
    </w:p>
    <w:p>
      <w:pPr>
        <w:pStyle w:val="ConsPlusNormal1"/>
        <w:widowControl/>
        <w:numPr>
          <w:ilvl w:val="1"/>
          <w:numId w:val="1"/>
        </w:numPr>
        <w:tabs>
          <w:tab w:val="left" w:pos="284" w:leader="none"/>
          <w:tab w:val="left" w:pos="426" w:leader="none"/>
          <w:tab w:val="left" w:pos="709" w:leader="none"/>
        </w:tabs>
        <w:ind w:left="0" w:right="0" w:firstLine="709"/>
        <w:jc w:val="both"/>
        <w:rPr>
          <w:shd w:fill="auto" w:val="clear"/>
        </w:rPr>
      </w:pP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 xml:space="preserve">Ресурсно-индексным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 xml:space="preserve"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</w:t>
      </w:r>
      <w:r>
        <w:rPr>
          <w:rFonts w:cs="Times New Roman" w:ascii="Times New Roman" w:hAnsi="Times New Roman"/>
          <w:b/>
          <w:sz w:val="22"/>
          <w:szCs w:val="22"/>
          <w:shd w:fill="auto" w:val="clear"/>
        </w:rPr>
        <w:t>текущем уровне цен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 xml:space="preserve">. </w:t>
      </w:r>
    </w:p>
    <w:p>
      <w:pPr>
        <w:pStyle w:val="ConsPlusNormal1"/>
        <w:widowControl/>
        <w:numPr>
          <w:ilvl w:val="0"/>
          <w:numId w:val="1"/>
        </w:numPr>
        <w:tabs>
          <w:tab w:val="left" w:pos="284" w:leader="none"/>
          <w:tab w:val="left" w:pos="426" w:leader="none"/>
          <w:tab w:val="left" w:pos="709" w:leader="none"/>
        </w:tabs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cs="Times New Roman" w:ascii="Times New Roman" w:hAnsi="Times New Roman"/>
          <w:b/>
          <w:sz w:val="22"/>
          <w:szCs w:val="22"/>
        </w:rPr>
        <w:t>базисно-индексным</w:t>
      </w:r>
      <w:r>
        <w:rPr>
          <w:rFonts w:cs="Times New Roman" w:ascii="Times New Roman" w:hAnsi="Times New Roman"/>
          <w:sz w:val="22"/>
          <w:szCs w:val="22"/>
        </w:rPr>
        <w:t xml:space="preserve"> или </w:t>
      </w:r>
      <w:r>
        <w:rPr>
          <w:rFonts w:cs="Times New Roman" w:ascii="Times New Roman" w:hAnsi="Times New Roman"/>
          <w:b/>
          <w:sz w:val="22"/>
          <w:szCs w:val="22"/>
        </w:rPr>
        <w:t>ресурсно-индексным</w:t>
      </w:r>
      <w:r>
        <w:rPr>
          <w:rFonts w:cs="Times New Roman" w:ascii="Times New Roman" w:hAnsi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Федерации).</w:t>
      </w:r>
    </w:p>
    <w:p>
      <w:pPr>
        <w:pStyle w:val="ConsPlusNormal1"/>
        <w:keepNext w:val="true"/>
        <w:widowControl/>
        <w:numPr>
          <w:ilvl w:val="1"/>
          <w:numId w:val="1"/>
        </w:numPr>
        <w:tabs>
          <w:tab w:val="left" w:pos="709" w:leader="none"/>
        </w:tabs>
        <w:spacing w:before="0" w:after="240"/>
        <w:ind w:left="0" w:right="0" w:firstLine="709"/>
        <w:jc w:val="both"/>
        <w:rPr/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>Для базисно-индексного метода</w:t>
      </w:r>
      <w:r>
        <w:rPr>
          <w:rFonts w:cs="Times New Roman" w:ascii="Times New Roman" w:hAnsi="Times New Roman"/>
          <w:b/>
          <w:sz w:val="22"/>
          <w:szCs w:val="22"/>
        </w:rPr>
        <w:t xml:space="preserve">: </w:t>
      </w:r>
    </w:p>
    <w:tbl>
      <w:tblPr>
        <w:tblW w:w="4900" w:type="pct"/>
        <w:jc w:val="left"/>
        <w:tblInd w:w="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"/>
        <w:gridCol w:w="1847"/>
        <w:gridCol w:w="959"/>
        <w:gridCol w:w="1163"/>
        <w:gridCol w:w="1344"/>
        <w:gridCol w:w="1163"/>
        <w:gridCol w:w="1343"/>
        <w:gridCol w:w="1287"/>
      </w:tblGrid>
      <w:tr>
        <w:trPr>
          <w:trHeight w:val="2880" w:hRule="atLeast"/>
        </w:trPr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3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exact" w:line="180" w:before="0" w:after="0"/>
              <w:jc w:val="center"/>
              <w:rPr/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>
        <w:trPr>
          <w:trHeight w:val="462" w:hRule="atLeast"/>
        </w:trPr>
        <w:tc>
          <w:tcPr>
            <w:tcW w:w="81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Объекты, по которым сметная документация (в составе ПД), подлежит обязательной проверке достоверности стоимости в Государственной экспертизе</w:t>
            </w:r>
          </w:p>
        </w:tc>
        <w:tc>
          <w:tcPr>
            <w:tcW w:w="12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20" w:hRule="atLeast"/>
        </w:trPr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95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4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7" w:type="dxa"/>
            <w:vMerge w:val="continue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85" w:hRule="atLeast"/>
        </w:trPr>
        <w:tc>
          <w:tcPr>
            <w:tcW w:w="819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документация по остальным объектам, в т.ч. ТО, РЕМ, модернизация оборудования и т.п.</w:t>
            </w:r>
          </w:p>
        </w:tc>
        <w:tc>
          <w:tcPr>
            <w:tcW w:w="1287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95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44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4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7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разрабатываемые РЦЦС, или иными органами ценообразования субъектов РФ</w:t>
            </w:r>
          </w:p>
        </w:tc>
        <w:tc>
          <w:tcPr>
            <w:tcW w:w="95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4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34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keepNext w:val="tru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>
          <w:trHeight w:val="20" w:hRule="atLeast"/>
        </w:trPr>
        <w:tc>
          <w:tcPr>
            <w:tcW w:w="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F2F2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Индексы, публикуемые информационными изданиями (в т.ч.  ВЦиСН, Мособлэкспертиза и др.)</w:t>
            </w:r>
          </w:p>
        </w:tc>
        <w:tc>
          <w:tcPr>
            <w:tcW w:w="95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44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34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87" w:type="dxa"/>
            <w:tcBorders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120" w:after="40"/>
        <w:ind w:left="0" w:right="0" w:firstLine="709"/>
        <w:jc w:val="both"/>
        <w:rPr>
          <w:rFonts w:ascii="Times New Roman" w:hAnsi="Times New Roman" w:cs="Times New Roman"/>
          <w:b/>
          <w:b/>
          <w:sz w:val="22"/>
          <w:szCs w:val="22"/>
          <w:u w:val="single"/>
        </w:rPr>
      </w:pPr>
      <w:r>
        <w:rPr>
          <w:rFonts w:cs="Times New Roman" w:ascii="Times New Roman" w:hAnsi="Times New Roman"/>
          <w:b/>
          <w:sz w:val="22"/>
          <w:szCs w:val="22"/>
          <w:u w:val="single"/>
        </w:rPr>
        <w:t>Для ресурсно-индексного метода: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  <w:tab w:val="left" w:pos="1418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индексы</w:t>
      </w:r>
      <w:r>
        <w:rPr>
          <w:rFonts w:cs="Times New Roman" w:ascii="Times New Roman" w:hAnsi="Times New Roman"/>
          <w:b/>
          <w:sz w:val="22"/>
          <w:szCs w:val="22"/>
        </w:rPr>
        <w:t xml:space="preserve"> к отдельным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строительным ресурсам</w:t>
      </w:r>
      <w:r>
        <w:rPr>
          <w:rFonts w:cs="Times New Roman" w:ascii="Times New Roman" w:hAnsi="Times New Roman"/>
          <w:sz w:val="22"/>
          <w:szCs w:val="22"/>
        </w:rPr>
        <w:t xml:space="preserve">, индексы к </w:t>
      </w:r>
      <w:r>
        <w:rPr>
          <w:rFonts w:cs="Times New Roman" w:ascii="Times New Roman" w:hAnsi="Times New Roman"/>
          <w:b/>
          <w:sz w:val="22"/>
          <w:szCs w:val="22"/>
        </w:rPr>
        <w:t>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  <w:tab w:val="left" w:pos="1418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сметных цен </w:t>
      </w:r>
      <w:r>
        <w:rPr>
          <w:rFonts w:cs="Times New Roman" w:ascii="Times New Roman" w:hAnsi="Times New Roman"/>
          <w:b/>
          <w:sz w:val="22"/>
          <w:szCs w:val="22"/>
        </w:rPr>
        <w:t xml:space="preserve">на перевозку грузов </w:t>
      </w:r>
      <w:r>
        <w:rPr>
          <w:rFonts w:cs="Times New Roman" w:ascii="Times New Roman" w:hAnsi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сметной </w:t>
      </w:r>
      <w:r>
        <w:rPr>
          <w:rFonts w:cs="Times New Roman" w:ascii="Times New Roman" w:hAnsi="Times New Roman"/>
          <w:b/>
          <w:sz w:val="22"/>
          <w:szCs w:val="22"/>
        </w:rPr>
        <w:t xml:space="preserve">стоимости оборудования </w:t>
      </w:r>
      <w:r>
        <w:rPr>
          <w:rFonts w:cs="Times New Roman" w:ascii="Times New Roman" w:hAnsi="Times New Roman"/>
          <w:sz w:val="22"/>
          <w:szCs w:val="22"/>
        </w:rPr>
        <w:t>– применяются к сметной стоимости оборудования;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rFonts w:cs="Times New Roman" w:ascii="Times New Roman" w:hAnsi="Times New Roman"/>
          <w:b/>
          <w:sz w:val="22"/>
          <w:szCs w:val="22"/>
        </w:rPr>
        <w:t>прочих работ и затрат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В сметных расчетах на этап работ допускается использовать прогнозные среднегодовые индексы-дефляторы по данным Единых сценарных условий</w:t>
      </w:r>
      <w:r>
        <w:rPr>
          <w:rFonts w:cs="Times New Roman" w:ascii="Times New Roman" w:hAnsi="Times New Roman"/>
          <w:b/>
          <w:color w:val="FF0000"/>
          <w:sz w:val="22"/>
          <w:szCs w:val="22"/>
        </w:rPr>
        <w:t>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>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и 2023 год.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 то индекс-дефлятор  не применяется. 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В случае </w:t>
      </w:r>
      <w:r>
        <w:rPr>
          <w:rFonts w:cs="Times New Roman" w:ascii="Times New Roman" w:hAnsi="Times New Roman"/>
          <w:i/>
          <w:sz w:val="22"/>
          <w:szCs w:val="22"/>
        </w:rPr>
        <w:t>отсутствия</w:t>
      </w:r>
      <w:r>
        <w:rPr>
          <w:rFonts w:cs="Times New Roman" w:ascii="Times New Roman" w:hAnsi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/>
      </w:pPr>
      <w:bookmarkStart w:id="0" w:name="_Hlk86254526"/>
      <w:r>
        <w:rPr>
          <w:rFonts w:cs="Times New Roman" w:ascii="Times New Roman" w:hAnsi="Times New Roman"/>
          <w:sz w:val="22"/>
          <w:szCs w:val="22"/>
        </w:rPr>
        <w:t xml:space="preserve">При </w:t>
      </w:r>
      <w:r>
        <w:rPr>
          <w:rFonts w:cs="Times New Roman" w:ascii="Times New Roman" w:hAnsi="Times New Roman"/>
          <w:i/>
          <w:sz w:val="22"/>
          <w:szCs w:val="22"/>
        </w:rPr>
        <w:t xml:space="preserve">отсутствии </w:t>
      </w:r>
      <w:r>
        <w:rPr>
          <w:rFonts w:cs="Times New Roman" w:ascii="Times New Roman" w:hAnsi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1" w:name="_Hlk86254576"/>
      <w:r>
        <w:rPr>
          <w:rFonts w:cs="Times New Roman" w:ascii="Times New Roman" w:hAnsi="Times New Roman"/>
          <w:sz w:val="22"/>
          <w:szCs w:val="22"/>
        </w:rPr>
        <w:t xml:space="preserve">Методом анализа ТКП </w:t>
      </w:r>
      <w:bookmarkEnd w:id="1"/>
      <w:r>
        <w:rPr>
          <w:rFonts w:cs="Times New Roman" w:ascii="Times New Roman" w:hAnsi="Times New Roman"/>
          <w:sz w:val="22"/>
          <w:szCs w:val="22"/>
        </w:rPr>
        <w:t xml:space="preserve">в соответствии с Методикой формирования плановой цены на закупаемую продукцию для организаций Группы РусГидро (далее – Методика ПЦ) </w:t>
      </w:r>
      <w:bookmarkEnd w:id="0"/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13.1.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13.2.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2"/>
          <w:szCs w:val="22"/>
          <w:lang w:val="en-US"/>
        </w:rPr>
        <w:t>VII</w:t>
      </w:r>
      <w:r>
        <w:rPr>
          <w:rFonts w:cs="Times New Roman" w:ascii="Times New Roman" w:hAnsi="Times New Roman"/>
          <w:sz w:val="22"/>
          <w:szCs w:val="22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>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cs="Times New Roman" w:ascii="Times New Roman" w:hAnsi="Times New Roman"/>
          <w:color w:val="000000"/>
          <w:sz w:val="22"/>
          <w:szCs w:val="22"/>
        </w:rPr>
        <w:t>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</w:t>
      </w:r>
      <w:r>
        <w:rPr>
          <w:rFonts w:cs="Times New Roman" w:ascii="Times New Roman" w:hAnsi="Times New Roman"/>
          <w:sz w:val="22"/>
          <w:szCs w:val="22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567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 xml:space="preserve">При производстве СМР и ПНР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  <w:shd w:fill="FFFF00" w:val="clear"/>
        </w:rPr>
        <w:t>не более: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суточные – 700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проживание – 500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567"/>
        <w:jc w:val="both"/>
        <w:rPr/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 xml:space="preserve">При производстве СМР и ПНР лимиты командировочных расходов при командировании на территории, относящиеся к местностям, приравненным к районам Крайнего Севера, принимать в размере 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  <w:shd w:fill="FFFF00" w:val="clear"/>
        </w:rPr>
        <w:t>не более: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суточные – 945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проживание – 750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</w:tabs>
        <w:spacing w:before="40" w:after="40"/>
        <w:ind w:left="851" w:right="0" w:hanging="0"/>
        <w:jc w:val="both"/>
        <w:rPr>
          <w:rFonts w:ascii="Times New Roman" w:hAnsi="Times New Roman" w:cs="Times New Roman"/>
          <w:color w:val="000000"/>
          <w:sz w:val="22"/>
          <w:szCs w:val="22"/>
          <w:shd w:fill="FFFF00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00" w:val="clear"/>
        </w:rPr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b/>
          <w:b/>
          <w:i/>
          <w:i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i/>
          <w:color w:val="000000"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Start w:id="2" w:name="_Ref19086149"/>
      <w:bookmarkEnd w:id="2"/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при базисно-индексном методе до </w:t>
      </w:r>
      <w:r>
        <w:rPr>
          <w:rFonts w:cs="Times New Roman" w:ascii="Times New Roman" w:hAnsi="Times New Roman"/>
          <w:b/>
          <w:sz w:val="22"/>
          <w:szCs w:val="22"/>
        </w:rPr>
        <w:t>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 (до копеек);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ConsPlusNormal1"/>
        <w:widowControl/>
        <w:numPr>
          <w:ilvl w:val="1"/>
          <w:numId w:val="1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numPr>
          <w:ilvl w:val="2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предоставляемой электроэнергии (в том числе, в составе стоимости машино-часа):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right="0" w:firstLine="709"/>
        <w:contextualSpacing w:val="false"/>
        <w:jc w:val="both"/>
        <w:rPr/>
      </w:pPr>
      <w:r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Style23"/>
          <w:rFonts w:ascii="Times New Roman" w:hAnsi="Times New Roman"/>
        </w:rPr>
        <w:footnoteReference w:id="4"/>
      </w:r>
      <w:r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>
        <w:rPr>
          <w:rFonts w:ascii="Times New Roman" w:hAnsi="Times New Roman"/>
          <w:color w:val="000000"/>
        </w:rPr>
        <w:t>Приложении 4 к настоящим требованиям</w:t>
      </w:r>
      <w:r>
        <w:rPr>
          <w:rFonts w:ascii="Times New Roman" w:hAnsi="Times New Roman"/>
        </w:rPr>
        <w:t xml:space="preserve">. 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righ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righ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numPr>
          <w:ilvl w:val="2"/>
          <w:numId w:val="1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По предоставляемому сжатому воздуху:</w:t>
      </w:r>
    </w:p>
    <w:p>
      <w:pPr>
        <w:pStyle w:val="ListParagraph"/>
        <w:numPr>
          <w:ilvl w:val="0"/>
          <w:numId w:val="11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righ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numPr>
          <w:ilvl w:val="2"/>
          <w:numId w:val="1"/>
        </w:numPr>
        <w:tabs>
          <w:tab w:val="clear" w:pos="709"/>
          <w:tab w:val="left" w:pos="567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Учтенные в составе накладных расходов: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1701" w:leader="none"/>
        </w:tabs>
        <w:spacing w:before="40" w:after="40"/>
        <w:ind w:left="1701" w:right="0" w:hanging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1701" w:leader="none"/>
        </w:tabs>
        <w:spacing w:before="40" w:after="40"/>
        <w:ind w:left="1701" w:right="0" w:hanging="28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-2,01%);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1701" w:leader="none"/>
        </w:tabs>
        <w:spacing w:before="40" w:after="40"/>
        <w:ind w:left="1701" w:right="0" w:hanging="283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Style23"/>
          <w:rFonts w:cs="Times New Roman" w:ascii="Times New Roman" w:hAnsi="Times New Roman"/>
          <w:sz w:val="22"/>
          <w:szCs w:val="22"/>
        </w:rPr>
        <w:footnoteReference w:id="5"/>
      </w:r>
      <w:r>
        <w:rPr>
          <w:rFonts w:cs="Times New Roman" w:ascii="Times New Roman" w:hAnsi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форматах «</w:t>
      </w:r>
      <w:r>
        <w:rPr>
          <w:rFonts w:cs="Times New Roman" w:ascii="Times New Roman" w:hAnsi="Times New Roman"/>
          <w:sz w:val="22"/>
          <w:szCs w:val="22"/>
          <w:lang w:val="en-US"/>
        </w:rPr>
        <w:t>xml</w:t>
      </w:r>
      <w:r>
        <w:rPr>
          <w:rFonts w:cs="Times New Roman" w:ascii="Times New Roman" w:hAnsi="Times New Roman"/>
          <w:sz w:val="22"/>
          <w:szCs w:val="22"/>
        </w:rPr>
        <w:t>»,</w:t>
      </w:r>
      <w:r>
        <w:rPr>
          <w:rFonts w:cs="Times New Roman" w:ascii="Times New Roman" w:hAnsi="Times New Roman"/>
          <w:color w:val="2E74B5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ПК «Гранд-Смета»,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righ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формате ПК «Гранд-смета» выходная форма для печати указана ниже: </w:t>
      </w:r>
    </w:p>
    <w:p>
      <w:pPr>
        <w:pStyle w:val="ConsPlusNormal1"/>
        <w:widowControl/>
        <w:ind w:left="567" w:right="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left="0" w:right="0" w:firstLine="567"/>
        <w:jc w:val="both"/>
        <w:rPr/>
      </w:pPr>
      <w:r>
        <w:rPr/>
        <w:drawing>
          <wp:inline distT="0" distB="0" distL="0" distR="0">
            <wp:extent cx="6027420" cy="3593465"/>
            <wp:effectExtent l="0" t="0" r="0" b="0"/>
            <wp:docPr id="1" name="Рисунок 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359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spacing w:lineRule="auto" w:line="240" w:before="0" w:after="0"/>
        <w:ind w:left="5812" w:right="0" w:firstLine="72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риложение 1 </w:t>
      </w:r>
    </w:p>
    <w:p>
      <w:pPr>
        <w:pStyle w:val="Normal"/>
        <w:spacing w:lineRule="auto" w:line="240" w:before="0" w:after="0"/>
        <w:ind w:left="5811" w:right="0" w:firstLine="720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right="0" w:firstLine="72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реконструкцию, техническое перевооружение и ремонт и дополнительным соглашениям к указанным договорам.</w:t>
      </w:r>
    </w:p>
    <w:p>
      <w:pPr>
        <w:pStyle w:val="ConsPlusNormal1"/>
        <w:widowControl/>
        <w:ind w:left="0" w:right="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left="0" w:righ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sectPr>
          <w:footerReference w:type="default" r:id="rId3"/>
          <w:footnotePr>
            <w:numFmt w:val="decimal"/>
            <w:numRestart w:val="eachSect"/>
          </w:footnotePr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left="0"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right="0" w:firstLine="720"/>
        <w:rPr/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right="0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right="0" w:firstLine="720"/>
        <w:jc w:val="center"/>
        <w:rPr/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3" w:name="P3258"/>
      <w:bookmarkStart w:id="4" w:name="P2945"/>
      <w:bookmarkStart w:id="5" w:name="P2746"/>
      <w:bookmarkStart w:id="6" w:name="P2736"/>
      <w:bookmarkStart w:id="7" w:name="P2616"/>
      <w:bookmarkStart w:id="8" w:name="P2566"/>
      <w:bookmarkStart w:id="9" w:name="P2546"/>
      <w:bookmarkStart w:id="10" w:name="P2531"/>
      <w:bookmarkStart w:id="11" w:name="P2530"/>
      <w:bookmarkStart w:id="12" w:name="P2529"/>
      <w:bookmarkStart w:id="13" w:name="P2528"/>
      <w:bookmarkStart w:id="14" w:name="P2527"/>
      <w:bookmarkStart w:id="15" w:name="P2526"/>
      <w:bookmarkStart w:id="16" w:name="P2525"/>
      <w:bookmarkStart w:id="17" w:name="P2524"/>
      <w:bookmarkStart w:id="18" w:name="P2523"/>
      <w:bookmarkStart w:id="19" w:name="P2522"/>
      <w:bookmarkStart w:id="20" w:name="P2506"/>
      <w:bookmarkStart w:id="21" w:name="P3258"/>
      <w:bookmarkStart w:id="22" w:name="P2945"/>
      <w:bookmarkStart w:id="23" w:name="P2746"/>
      <w:bookmarkStart w:id="24" w:name="P2736"/>
      <w:bookmarkStart w:id="25" w:name="P2616"/>
      <w:bookmarkStart w:id="26" w:name="P2566"/>
      <w:bookmarkStart w:id="27" w:name="P2546"/>
      <w:bookmarkStart w:id="28" w:name="P2531"/>
      <w:bookmarkStart w:id="29" w:name="P2530"/>
      <w:bookmarkStart w:id="30" w:name="P2529"/>
      <w:bookmarkStart w:id="31" w:name="P2528"/>
      <w:bookmarkStart w:id="32" w:name="P2527"/>
      <w:bookmarkStart w:id="33" w:name="P2526"/>
      <w:bookmarkStart w:id="34" w:name="P2525"/>
      <w:bookmarkStart w:id="35" w:name="P2524"/>
      <w:bookmarkStart w:id="36" w:name="P2523"/>
      <w:bookmarkStart w:id="37" w:name="P2522"/>
      <w:bookmarkStart w:id="38" w:name="P2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10915" w:type="dxa"/>
        <w:jc w:val="left"/>
        <w:tblInd w:w="-67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</w:tblPr>
      <w:tblGrid>
        <w:gridCol w:w="3464"/>
        <w:gridCol w:w="7451"/>
      </w:tblGrid>
      <w:tr>
        <w:trPr>
          <w:trHeight w:val="1158" w:hRule="atLeast"/>
        </w:trPr>
        <w:tc>
          <w:tcPr>
            <w:tcW w:w="3464" w:type="dxa"/>
            <w:tcBorders/>
            <w:shd w:fill="FFFFFF" w:val="clear"/>
          </w:tcPr>
          <w:p>
            <w:pPr>
              <w:pStyle w:val="ConsPlusNormal1"/>
              <w:ind w:left="283" w:right="0" w:hanging="0"/>
              <w:rPr/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ind w:left="0"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tabs>
                <w:tab w:val="clear" w:pos="709"/>
                <w:tab w:val="left" w:pos="0" w:leader="none"/>
              </w:tabs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ind w:left="142" w:right="0" w:hanging="142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1" w:type="dxa"/>
            <w:tcBorders/>
            <w:shd w:fill="FFFFFF" w:val="clear"/>
          </w:tcPr>
          <w:p>
            <w:pPr>
              <w:pStyle w:val="ConsPlusNormal1"/>
              <w:ind w:left="0" w:right="-3855" w:firstLine="72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ind w:left="0" w:right="-909" w:hanging="0"/>
              <w:rPr/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ind w:left="2551" w:right="0" w:firstLine="720"/>
              <w:jc w:val="center"/>
              <w:rPr/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fill="FFFFFF" w:val="clear"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1" w:type="dxa"/>
            <w:tcBorders/>
            <w:shd w:fill="FFFFFF" w:val="clear"/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5" w:type="dxa"/>
            <w:gridSpan w:val="2"/>
            <w:tcBorders/>
            <w:shd w:fill="FFFFFF" w:val="clear"/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77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</w:tblPr>
      <w:tblGrid>
        <w:gridCol w:w="633"/>
        <w:gridCol w:w="993"/>
        <w:gridCol w:w="283"/>
        <w:gridCol w:w="1270"/>
        <w:gridCol w:w="364"/>
        <w:gridCol w:w="1342"/>
        <w:gridCol w:w="426"/>
        <w:gridCol w:w="1134"/>
        <w:gridCol w:w="1559"/>
        <w:gridCol w:w="1418"/>
        <w:gridCol w:w="1560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tabs>
                <w:tab w:val="clear" w:pos="709"/>
                <w:tab w:val="left" w:pos="567" w:leader="none"/>
                <w:tab w:val="left" w:pos="2091" w:leader="none"/>
              </w:tabs>
              <w:ind w:left="170" w:right="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tabs>
                <w:tab w:val="clear" w:pos="709"/>
                <w:tab w:val="left" w:pos="851" w:leader="none"/>
              </w:tabs>
              <w:ind w:left="170" w:right="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907" w:right="0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284" w:right="0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right="0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right="0" w:firstLine="72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right="0" w:firstLine="720"/>
        <w:rPr/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right="0" w:firstLine="720"/>
        <w:rPr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программе</w:t>
      </w:r>
    </w:p>
    <w:p>
      <w:pPr>
        <w:pStyle w:val="ConsPlusNormal1"/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>
      <w:pPr>
        <w:pStyle w:val="ConsPlusNormal1"/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>
      <w:pPr>
        <w:pStyle w:val="ConsPlusNormal1"/>
        <w:ind w:left="5811" w:right="0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right="0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24"/>
        <w:gridCol w:w="9691"/>
      </w:tblGrid>
      <w:tr>
        <w:trPr/>
        <w:tc>
          <w:tcPr>
            <w:tcW w:w="1224" w:type="dxa"/>
            <w:tcBorders/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4" w:type="dxa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1" w:type="dxa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5" w:type="dxa"/>
            <w:gridSpan w:val="2"/>
            <w:tcBorders/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274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</w:tblPr>
      <w:tblGrid>
        <w:gridCol w:w="427"/>
        <w:gridCol w:w="990"/>
        <w:gridCol w:w="295"/>
        <w:gridCol w:w="1634"/>
        <w:gridCol w:w="56"/>
        <w:gridCol w:w="1701"/>
        <w:gridCol w:w="1278"/>
        <w:gridCol w:w="1417"/>
        <w:gridCol w:w="1134"/>
        <w:gridCol w:w="1774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191" w:right="0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113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6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/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tabs>
                <w:tab w:val="clear" w:pos="709"/>
                <w:tab w:val="left" w:pos="2091" w:leader="none"/>
              </w:tabs>
              <w:ind w:left="425" w:right="0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ind w:left="425" w:right="0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60" w:type="dxa"/>
            <w:gridSpan w:val="6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60" w:type="dxa"/>
            <w:gridSpan w:val="6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ind w:left="141" w:right="0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60" w:type="dxa"/>
            <w:gridSpan w:val="6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60" w:type="dxa"/>
            <w:gridSpan w:val="6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ind w:left="0" w:right="0"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tcBorders/>
          </w:tcPr>
          <w:p>
            <w:pPr>
              <w:pStyle w:val="ConsPlusNormal1"/>
              <w:ind w:left="0" w:right="0"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603" w:type="dxa"/>
            <w:gridSpan w:val="4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</w:tcBorders>
          </w:tcPr>
          <w:p>
            <w:pPr>
              <w:pStyle w:val="ConsPlusNormal1"/>
              <w:ind w:left="0" w:right="0"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01" w:type="dxa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603" w:type="dxa"/>
            <w:gridSpan w:val="4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ind w:left="141" w:right="0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4" w:type="dxa"/>
            <w:gridSpan w:val="7"/>
            <w:tcBorders>
              <w:bottom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2" w:type="dxa"/>
            <w:gridSpan w:val="3"/>
            <w:tcBorders/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4" w:type="dxa"/>
            <w:gridSpan w:val="7"/>
            <w:tcBorders>
              <w:top w:val="single" w:sz="4" w:space="0" w:color="00000A"/>
            </w:tcBorders>
          </w:tcPr>
          <w:p>
            <w:pPr>
              <w:pStyle w:val="ConsPlusNormal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pStyle w:val="ConsPlusNormal1"/>
        <w:widowControl/>
        <w:ind w:left="0" w:right="0" w:hanging="0"/>
        <w:jc w:val="right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sectPr>
          <w:footerReference w:type="default" r:id="rId4"/>
          <w:footnotePr>
            <w:numFmt w:val="decimal"/>
            <w:numRestart w:val="eachSect"/>
          </w:footnotePr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4294965247"/>
        </w:sectPr>
        <w:pStyle w:val="ConsPlusNormal1"/>
        <w:widowControl/>
        <w:ind w:left="0" w:right="0" w:hanging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right="0" w:hanging="426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right="0" w:firstLine="720"/>
        <w:jc w:val="right"/>
        <w:rPr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right="0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16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1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right="0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right="0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righ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  <w:b/>
        </w:rPr>
      </w:pPr>
      <w:r>
        <w:rPr>
          <w:b/>
        </w:rPr>
      </w:r>
    </w:p>
    <w:tbl>
      <w:tblPr>
        <w:tblW w:w="10773" w:type="dxa"/>
        <w:jc w:val="left"/>
        <w:tblInd w:w="132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</w:tblPr>
      <w:tblGrid>
        <w:gridCol w:w="425"/>
        <w:gridCol w:w="709"/>
        <w:gridCol w:w="851"/>
        <w:gridCol w:w="1208"/>
        <w:gridCol w:w="919"/>
        <w:gridCol w:w="850"/>
        <w:gridCol w:w="851"/>
        <w:gridCol w:w="849"/>
        <w:gridCol w:w="852"/>
        <w:gridCol w:w="707"/>
        <w:gridCol w:w="569"/>
        <w:gridCol w:w="850"/>
        <w:gridCol w:w="1133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62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1360" w:right="0" w:hanging="14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797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64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7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ind w:left="-800" w:right="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ind w:left="0" w:right="0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ConsPlusNormal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5"/>
          <w:footnotePr>
            <w:numFmt w:val="decimal"/>
            <w:numRestart w:val="eachSect"/>
          </w:footnotePr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4294965247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программе ремонтов, реконструкции </w:t>
      </w:r>
    </w:p>
    <w:p>
      <w:pPr>
        <w:pStyle w:val="ConsPlusNormal1"/>
        <w:ind w:left="5811" w:right="0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317"/>
        <w:gridCol w:w="691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5" w:type="dxa"/>
            <w:gridSpan w:val="4"/>
            <w:tcBorders/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0" w:type="dxa"/>
            <w:gridSpan w:val="5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50" w:type="dxa"/>
            <w:gridSpan w:val="2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_____________2021 г</w:t>
            </w:r>
          </w:p>
        </w:tc>
        <w:tc>
          <w:tcPr>
            <w:tcW w:w="691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3" w:type="dxa"/>
            <w:gridSpan w:val="11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4" w:type="dxa"/>
            <w:gridSpan w:val="14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4" w:type="dxa"/>
            <w:gridSpan w:val="14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4" w:type="dxa"/>
            <w:gridSpan w:val="14"/>
            <w:tcBorders>
              <w:top w:val="single" w:sz="4" w:space="0" w:color="00000A"/>
            </w:tcBorders>
            <w:shd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50" w:type="dxa"/>
            <w:gridSpan w:val="2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4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5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4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1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fill="FFFFFF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9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21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3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35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9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7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5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7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right="0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sectPr>
      <w:footerReference w:type="default" r:id="rId6"/>
      <w:footnotePr>
        <w:numFmt w:val="decimal"/>
        <w:numRestart w:val="eachSect"/>
      </w:footnotePr>
      <w:type w:val="nextPage"/>
      <w:pgSz w:orient="landscape" w:w="16838" w:h="11906"/>
      <w:pgMar w:left="720" w:right="284" w:gutter="0" w:header="0" w:top="426" w:footer="709" w:bottom="924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fixed"/>
  </w:font>
  <w:font w:name="Courier New">
    <w:charset w:val="01"/>
    <w:family w:val="modern"/>
    <w:pitch w:val="fixed"/>
  </w:font>
  <w:font w:name="Wingdings">
    <w:charset w:val="02"/>
    <w:family w:val="auto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Style4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  <w:p>
    <w:pPr>
      <w:pStyle w:val="Style41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Style41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1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  <w:p>
    <w:pPr>
      <w:pStyle w:val="Style41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22"/>
        </w:rPr>
        <w:footnoteRef/>
      </w:r>
      <w:r>
        <w:rPr/>
        <w:t>Закупки, на которые распространяются требования Градостроительного кодекса, Статья 8.3, пункт 1 «При этом сметные нормативы и сметные цены строительных ресурсов, использованные при определении сметной стоимости строительства, не подлежат применению при исполнении указанных контрактов или договоров».</w:t>
      </w:r>
    </w:p>
  </w:footnote>
  <w:footnote w:id="3">
    <w:p>
      <w:pPr>
        <w:pStyle w:val="Footnotetext"/>
        <w:jc w:val="both"/>
        <w:rPr/>
      </w:pPr>
      <w:r>
        <w:rPr>
          <w:rStyle w:val="Style22"/>
        </w:rPr>
        <w:footnoteRef/>
      </w:r>
      <w:r>
        <w:rPr/>
        <w:t>Данный способ применим при отсутствии разработанной рабочей документации на момент расчета плановой цены.</w:t>
      </w:r>
    </w:p>
  </w:footnote>
  <w:footnote w:id="4">
    <w:p>
      <w:pPr>
        <w:pStyle w:val="Footnotetext"/>
        <w:jc w:val="both"/>
        <w:rPr/>
      </w:pPr>
      <w:r>
        <w:rPr>
          <w:rStyle w:val="Style22"/>
        </w:rPr>
        <w:footnoteRef/>
      </w:r>
      <w:r>
        <w:rPr/>
      </w:r>
    </w:p>
  </w:footnote>
  <w:footnote w:id="5">
    <w:p>
      <w:pPr>
        <w:pStyle w:val="Footnotetext"/>
        <w:rPr/>
      </w:pPr>
      <w:r>
        <w:rPr>
          <w:rStyle w:val="Style22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/>
        <w:szCs w:val="22"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2"/>
        <w:u w:val="none"/>
        <w:b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  <w:sz w:val="22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sz w:val="22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2"/>
        <w:i w:val="false"/>
        <w:u w:val="none"/>
        <w:b w:val="false"/>
        <w:szCs w:val="22"/>
        <w:rFonts w:ascii="Times New Roman" w:hAnsi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75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kern w:val="2"/>
        <w:sz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ru-RU" w:bidi="ar-SA"/>
    </w:rPr>
  </w:style>
  <w:style w:type="paragraph" w:styleId="1">
    <w:name w:val="Heading 1"/>
    <w:basedOn w:val="Normal"/>
    <w:qFormat/>
    <w:pPr>
      <w:keepNext w:val="true"/>
      <w:keepLines/>
      <w:numPr>
        <w:ilvl w:val="0"/>
        <w:numId w:val="0"/>
      </w:numPr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qFormat/>
    <w:pPr>
      <w:keepNext w:val="true"/>
      <w:keepLines/>
      <w:numPr>
        <w:ilvl w:val="0"/>
        <w:numId w:val="0"/>
      </w:numPr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>
    <w:name w:val="Default Paragraph 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Style5">
    <w:name w:val="Текст примечания Знак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>
    <w:name w:val="Текст выноски Знак"/>
    <w:qFormat/>
    <w:rPr>
      <w:rFonts w:ascii="Tahoma" w:hAnsi="Tahoma" w:cs="Tahoma"/>
      <w:sz w:val="16"/>
      <w:szCs w:val="16"/>
    </w:rPr>
  </w:style>
  <w:style w:type="character" w:styleId="21">
    <w:name w:val="Заголовок 2 Знак"/>
    <w:qFormat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Style7">
    <w:name w:val="Интернет-ссылка"/>
    <w:rPr>
      <w:color w:val="0000FF"/>
      <w:u w:val="single"/>
    </w:rPr>
  </w:style>
  <w:style w:type="character" w:styleId="Applestylespan">
    <w:name w:val="apple-style-span"/>
    <w:basedOn w:val="DefaultParagraphFont"/>
    <w:qFormat/>
    <w:rPr/>
  </w:style>
  <w:style w:type="character" w:styleId="Appleconvertedspace">
    <w:name w:val="apple-converted-space"/>
    <w:basedOn w:val="DefaultParagraphFont"/>
    <w:qFormat/>
    <w:rPr/>
  </w:style>
  <w:style w:type="character" w:styleId="Style8">
    <w:name w:val="Текст сноски Знак"/>
    <w:qFormat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Footnotereference">
    <w:name w:val="footnote reference"/>
    <w:qFormat/>
    <w:rPr>
      <w:vertAlign w:val="superscript"/>
    </w:rPr>
  </w:style>
  <w:style w:type="character" w:styleId="11">
    <w:name w:val="Подпункт Знак1"/>
    <w:qFormat/>
    <w:rPr>
      <w:rFonts w:ascii="Times New Roman" w:hAnsi="Times New Roman"/>
      <w:b/>
      <w:sz w:val="28"/>
    </w:rPr>
  </w:style>
  <w:style w:type="character" w:styleId="Style9">
    <w:name w:val="Верхний колонтитул Знак"/>
    <w:basedOn w:val="DefaultParagraphFont"/>
    <w:qFormat/>
    <w:rPr/>
  </w:style>
  <w:style w:type="character" w:styleId="Style10">
    <w:name w:val="Нижний колонтитул Знак"/>
    <w:basedOn w:val="DefaultParagraphFont"/>
    <w:qFormat/>
    <w:rPr/>
  </w:style>
  <w:style w:type="character" w:styleId="Linenumber">
    <w:name w:val="line number"/>
    <w:basedOn w:val="DefaultParagraphFont"/>
    <w:qFormat/>
    <w:rPr/>
  </w:style>
  <w:style w:type="character" w:styleId="Style11">
    <w:name w:val="Схема документа Знак"/>
    <w:qFormat/>
    <w:rPr>
      <w:rFonts w:ascii="Tahoma" w:hAnsi="Tahoma" w:cs="Tahoma"/>
      <w:sz w:val="16"/>
      <w:szCs w:val="16"/>
    </w:rPr>
  </w:style>
  <w:style w:type="character" w:styleId="12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>
    <w:name w:val="Заголовок 3 Знак"/>
    <w:qFormat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>
    <w:name w:val="Заголовок 4 Знак"/>
    <w:qFormat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>
    <w:name w:val="Заголовок 5 Знак"/>
    <w:qFormat/>
    <w:rPr>
      <w:rFonts w:ascii="Cambria" w:hAnsi="Cambria" w:eastAsia="Times New Roman" w:cs="Times New Roman"/>
      <w:color w:val="243F60"/>
      <w:sz w:val="20"/>
      <w:szCs w:val="20"/>
    </w:rPr>
  </w:style>
  <w:style w:type="character" w:styleId="61">
    <w:name w:val="Заголовок 6 Знак"/>
    <w:qFormat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>
    <w:name w:val="Заголовок 7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>
    <w:name w:val="Заголовок 8 Знак"/>
    <w:qFormat/>
    <w:rPr>
      <w:rFonts w:ascii="Cambria" w:hAnsi="Cambria" w:eastAsia="Times New Roman" w:cs="Times New Roman"/>
      <w:color w:val="4F81BD"/>
      <w:sz w:val="20"/>
      <w:szCs w:val="20"/>
    </w:rPr>
  </w:style>
  <w:style w:type="character" w:styleId="91">
    <w:name w:val="Заголовок 9 Знак"/>
    <w:qFormat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>
    <w:name w:val="Название Знак"/>
    <w:qFormat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13">
    <w:name w:val="Подзаголовок Знак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Style14">
    <w:name w:val="Выделение"/>
    <w:qFormat/>
    <w:rPr>
      <w:i/>
      <w:iCs/>
    </w:rPr>
  </w:style>
  <w:style w:type="character" w:styleId="22">
    <w:name w:val="Цитата 2 Знак"/>
    <w:qFormat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5">
    <w:name w:val="Выделенная цитата Знак"/>
    <w:qFormat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16">
    <w:name w:val="Электронная подпись Знак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7">
    <w:name w:val="Тема примечания Знак"/>
    <w:qFormat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8">
    <w:name w:val="Основной текст с отступом Знак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Style19">
    <w:name w:val="Абзац списка Знак"/>
    <w:qFormat/>
    <w:rPr>
      <w:sz w:val="22"/>
      <w:szCs w:val="22"/>
    </w:rPr>
  </w:style>
  <w:style w:type="character" w:styleId="62">
    <w:name w:val="Основной текст (6)_"/>
    <w:basedOn w:val="DefaultParagraphFont"/>
    <w:qFormat/>
    <w:rPr>
      <w:rFonts w:ascii="Times New Roman" w:hAnsi="Times New Roman"/>
      <w:shd w:fill="FFFFFF" w:val="clear"/>
    </w:rPr>
  </w:style>
  <w:style w:type="character" w:styleId="Style20">
    <w:name w:val="Колонтитул_"/>
    <w:basedOn w:val="DefaultParagraphFont"/>
    <w:qFormat/>
    <w:rPr>
      <w:rFonts w:ascii="Times New Roman" w:hAnsi="Times New Roman"/>
      <w:shd w:fill="FFFFFF" w:val="clear"/>
    </w:rPr>
  </w:style>
  <w:style w:type="character" w:styleId="Style21">
    <w:name w:val="комментарий"/>
    <w:qFormat/>
    <w:rPr>
      <w:i/>
      <w:shd w:fill="FFFF99" w:val="clear"/>
    </w:rPr>
  </w:style>
  <w:style w:type="character" w:styleId="ConsPlusNormal">
    <w:name w:val="ConsPlusNormal Знак"/>
    <w:qFormat/>
    <w:rPr>
      <w:rFonts w:ascii="Arial" w:hAnsi="Arial" w:cs="Arial"/>
    </w:rPr>
  </w:style>
  <w:style w:type="character" w:styleId="13">
    <w:name w:val="Абзац списка Знак1"/>
    <w:basedOn w:val="DefaultParagraphFont"/>
    <w:qFormat/>
    <w:rPr>
      <w:rFonts w:ascii="Calibri" w:hAnsi="Calibri"/>
      <w:sz w:val="22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Style27">
    <w:name w:val="Body Text"/>
    <w:basedOn w:val="Normal"/>
    <w:pPr>
      <w:spacing w:lineRule="auto" w:line="288" w:before="0" w:after="14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Annotationtext">
    <w:name w:val="annotation text"/>
    <w:basedOn w:val="Normal"/>
    <w:qFormat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1">
    <w:name w:val="Обычный+ без отступа"/>
    <w:basedOn w:val="Normal"/>
    <w:qFormat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2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3">
    <w:name w:val="Текст таблицы"/>
    <w:basedOn w:val="Normal"/>
    <w:qFormat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4">
    <w:name w:val="Пункт Знак"/>
    <w:basedOn w:val="Normal"/>
    <w:qFormat/>
    <w:p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5">
    <w:name w:val="Подпункт"/>
    <w:basedOn w:val="Style34"/>
    <w:qFormat/>
    <w:pPr>
      <w:tabs>
        <w:tab w:val="clear" w:pos="851"/>
        <w:tab w:val="clear" w:pos="1134"/>
      </w:tabs>
    </w:pPr>
    <w:rPr/>
  </w:style>
  <w:style w:type="paragraph" w:styleId="Style36">
    <w:name w:val="Подподпункт"/>
    <w:basedOn w:val="Style35"/>
    <w:qFormat/>
    <w:pPr>
      <w:tabs>
        <w:tab w:val="left" w:pos="1134" w:leader="none"/>
        <w:tab w:val="left" w:pos="1418" w:leader="none"/>
      </w:tabs>
    </w:pPr>
    <w:rPr/>
  </w:style>
  <w:style w:type="paragraph" w:styleId="Style37">
    <w:name w:val="Подподподпункт"/>
    <w:basedOn w:val="Normal"/>
    <w:qFormat/>
    <w:p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>
    <w:name w:val="Пункт1"/>
    <w:basedOn w:val="Normal"/>
    <w:qFormat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>
    <w:name w:val="Пункт_3"/>
    <w:basedOn w:val="Normal"/>
    <w:qFormat/>
    <w:pPr>
      <w:tabs>
        <w:tab w:val="clear" w:pos="709"/>
        <w:tab w:val="left" w:pos="1134" w:leader="none"/>
      </w:tabs>
      <w:spacing w:lineRule="auto" w:line="360" w:before="0" w:after="0"/>
      <w:ind w:left="1134" w:right="0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autoRedefine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autoRedefine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right="0" w:hanging="0"/>
    </w:pPr>
    <w:rPr/>
  </w:style>
  <w:style w:type="paragraph" w:styleId="Footnotetext">
    <w:name w:val="footnote text"/>
    <w:basedOn w:val="Normal"/>
    <w:qFormat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>
    <w:name w:val="ConsPlusNormal"/>
    <w:qFormat/>
    <w:pPr>
      <w:widowControl w:val="false"/>
      <w:kinsoku w:val="true"/>
      <w:overflowPunct w:val="true"/>
      <w:autoSpaceDE w:val="true"/>
      <w:bidi w:val="0"/>
      <w:ind w:left="0" w:right="0" w:firstLine="720"/>
      <w:jc w:val="left"/>
    </w:pPr>
    <w:rPr>
      <w:rFonts w:ascii="Arial" w:hAnsi="Arial" w:cs="Arial" w:eastAsia="Times New Roman"/>
      <w:color w:val="auto"/>
      <w:kern w:val="2"/>
      <w:sz w:val="22"/>
      <w:szCs w:val="20"/>
      <w:lang w:val="ru-RU" w:eastAsia="ru-RU" w:bidi="ar-SA"/>
    </w:rPr>
  </w:style>
  <w:style w:type="paragraph" w:styleId="Style38">
    <w:name w:val="Таблица"/>
    <w:basedOn w:val="Normal"/>
    <w:qFormat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>
    <w:name w:val="Абзац списка1"/>
    <w:basedOn w:val="Normal"/>
    <w:qFormat/>
    <w:pPr>
      <w:spacing w:before="0" w:after="200"/>
      <w:ind w:left="720" w:right="0" w:hanging="0"/>
      <w:contextualSpacing/>
    </w:pPr>
    <w:rPr/>
  </w:style>
  <w:style w:type="paragraph" w:styleId="Style39">
    <w:name w:val="Колонтитул"/>
    <w:basedOn w:val="Normal"/>
    <w:qFormat/>
    <w:pPr>
      <w:widowControl w:val="false"/>
      <w:shd w:fill="FFFFFF" w:val="clear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Style40">
    <w:name w:val="Header"/>
    <w:basedOn w:val="Normal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1">
    <w:name w:val="Footer"/>
    <w:basedOn w:val="Normal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2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qFormat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qFormat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>
    <w:name w:val="Название1"/>
    <w:basedOn w:val="Normal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tyle43">
    <w:name w:val="Subtitle"/>
    <w:basedOn w:val="Normal"/>
    <w:qFormat/>
    <w:pPr>
      <w:spacing w:lineRule="auto" w:line="240" w:before="0" w:after="0"/>
      <w:ind w:left="1066" w:right="0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qFormat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qFormat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TOCHeading">
    <w:name w:val="TOC Heading"/>
    <w:basedOn w:val="1"/>
    <w:qFormat/>
    <w:pPr>
      <w:outlineLvl w:val="9"/>
    </w:pPr>
    <w:rPr/>
  </w:style>
  <w:style w:type="paragraph" w:styleId="EmailSignature">
    <w:name w:val="E-mail Signature"/>
    <w:basedOn w:val="Normal"/>
    <w:qFormat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qFormat/>
    <w:pPr/>
    <w:rPr>
      <w:rFonts w:eastAsia="Calibri"/>
      <w:b/>
      <w:bCs/>
    </w:rPr>
  </w:style>
  <w:style w:type="paragraph" w:styleId="33">
    <w:name w:val="Нумерованный список ур3"/>
    <w:basedOn w:val="Normal"/>
    <w:qFormat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18">
    <w:name w:val="List 3"/>
    <w:basedOn w:val="Normal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>
    <w:name w:val="Нумерованный список ур2"/>
    <w:basedOn w:val="Normal"/>
    <w:qFormat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qFormat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jc w:val="left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ru-RU" w:bidi="ar-SA"/>
    </w:rPr>
  </w:style>
  <w:style w:type="paragraph" w:styleId="34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5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>
    <w:name w:val="Абзац списка2"/>
    <w:basedOn w:val="Normal"/>
    <w:qFormat/>
    <w:pPr>
      <w:spacing w:before="0" w:after="200"/>
      <w:ind w:left="720" w:right="0" w:hanging="0"/>
      <w:contextualSpacing/>
    </w:pPr>
    <w:rPr/>
  </w:style>
  <w:style w:type="paragraph" w:styleId="Style46">
    <w:name w:val="Body Text Indent"/>
    <w:basedOn w:val="Normal"/>
    <w:pPr>
      <w:spacing w:lineRule="auto" w:line="240" w:before="0" w:after="120"/>
      <w:ind w:left="283" w:right="0" w:hanging="0"/>
    </w:pPr>
    <w:rPr>
      <w:rFonts w:ascii="Times New Roman" w:hAnsi="Times New Roman"/>
      <w:sz w:val="28"/>
      <w:szCs w:val="28"/>
    </w:rPr>
  </w:style>
  <w:style w:type="paragraph" w:styleId="Style47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>
    <w:name w:val="TOC 3"/>
    <w:basedOn w:val="Normal"/>
    <w:autoRedefine/>
    <w:pPr>
      <w:spacing w:before="0" w:after="100"/>
      <w:ind w:left="440" w:right="0" w:hanging="0"/>
    </w:pPr>
    <w:rPr/>
  </w:style>
  <w:style w:type="paragraph" w:styleId="63">
    <w:name w:val="Основной текст (6)"/>
    <w:basedOn w:val="Normal"/>
    <w:qFormat/>
    <w:pPr>
      <w:widowControl w:val="false"/>
      <w:shd w:fill="FFFFFF" w:val="clear"/>
      <w:spacing w:lineRule="auto" w:line="240" w:before="0" w:after="0"/>
      <w:ind w:left="0" w:right="0"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>
    <w:name w:val="Table List Paragraph"/>
    <w:basedOn w:val="Normal"/>
    <w:qFormat/>
    <w:p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48">
    <w:name w:val="Footnote Text"/>
    <w:basedOn w:val="Normal"/>
    <w:pPr/>
    <w:rPr/>
  </w:style>
  <w:style w:type="paragraph" w:styleId="Style49">
    <w:name w:val="Содержимое таблицы"/>
    <w:basedOn w:val="Normal"/>
    <w:qFormat/>
    <w:pPr/>
    <w:rPr/>
  </w:style>
  <w:style w:type="numbering" w:styleId="Style50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AlterOffice/3.2.10.1$Linux_X86_64 LibreOffice_project/fd4aef8cf5375f9cc83c908f13323775cf9f559f</Application>
  <AppVersion>15.0000</AppVersion>
  <Pages>15</Pages>
  <Words>4050</Words>
  <Characters>27452</Characters>
  <CharactersWithSpaces>32614</CharactersWithSpaces>
  <Paragraphs>484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2022-11-10T13:51:00Z</dcterms:created>
  <dc:creator>Торопов Денис Владимирович</dc:creator>
  <dc:description/>
  <dc:language>ru-RU</dc:language>
  <cp:lastModifiedBy>polyakov_ma</cp:lastModifiedBy>
  <cp:lastPrinted>2021-07-09T09:18:00Z</cp:lastPrinted>
  <dcterms:modified xsi:type="dcterms:W3CDTF">2024-02-02T11:19:36Z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